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CLAUDIA CHAVES</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AUTOMOTORES SAN JORGE SA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Calle 13 No. 38 - 91</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3759999 ext. 119</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2021ER06356.</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AUTOMOTORES SAN JORGE SA identificada con NIT 800110970-3 y cuya sede inscrita fue la ubicada en Calle 13 No. 38 - 91,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17"/>
              <w:gridCol w:w="2779"/>
              <w:gridCol w:w="2772"/>
              <w:tblGridChange w:id="0">
                <w:tblGrid>
                  <w:gridCol w:w="2717"/>
                  <w:gridCol w:w="2779"/>
                  <w:gridCol w:w="277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AUTOMOTORES SAN JORGE 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5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481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4"/>
              <w:gridCol w:w="1378"/>
              <w:gridCol w:w="4906"/>
              <w:tblGridChange w:id="0">
                <w:tblGrid>
                  <w:gridCol w:w="1984"/>
                  <w:gridCol w:w="1378"/>
                  <w:gridCol w:w="490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Luisa Fernanda Peña Onatra, asistió al 80 %  de  mesas de trabajo, cumpliendo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entrega la caracterización energética completa y dentro del tiempo establecido de acuerdo a las herramientas y </w:t>
                  </w:r>
                  <w:r w:rsidDel="00000000" w:rsidR="00000000" w:rsidRPr="00000000">
                    <w:rPr>
                      <w:rFonts w:ascii="Arial" w:cs="Arial" w:eastAsia="Arial" w:hAnsi="Arial"/>
                      <w:sz w:val="22"/>
                      <w:szCs w:val="22"/>
                      <w:rtl w:val="0"/>
                    </w:rPr>
                    <w:t xml:space="preserve">parámetros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solicitados. Los resultados son interpretados de manera apropiada de acuerdo a los productos obtenidos, sin embargo se debe ajustar el censo de equipos con el fin de optimizar el diagrama de Pareto de la organización.</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2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segundo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25 puntos de los 25 posibles. La revisión del documento denominado "Formato 1 de formulación de proyecto" permitió identificar oportunidades de mejora, que para efectos del presente informe se presentarán a continuación: </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Relacionar el costo total del proyecto.</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variables </w:t>
                  </w:r>
                  <w:r w:rsidDel="00000000" w:rsidR="00000000" w:rsidRPr="00000000">
                    <w:rPr>
                      <w:rFonts w:ascii="Arial" w:cs="Arial" w:eastAsia="Arial" w:hAnsi="Arial"/>
                      <w:sz w:val="22"/>
                      <w:szCs w:val="22"/>
                      <w:rtl w:val="0"/>
                    </w:rPr>
                    <w:t xml:space="preserve">estandarizadas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proyecto como área, tecnología y gestión de </w:t>
                  </w:r>
                  <w:r w:rsidDel="00000000" w:rsidR="00000000" w:rsidRPr="00000000">
                    <w:rPr>
                      <w:rFonts w:ascii="Arial" w:cs="Arial" w:eastAsia="Arial" w:hAnsi="Arial"/>
                      <w:sz w:val="22"/>
                      <w:szCs w:val="22"/>
                      <w:rtl w:val="0"/>
                    </w:rPr>
                    <w:t xml:space="preserve">trámites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 permitirá tener cotizaciones sobre un proyecto del mismo tamaño. Se recomienda revisar otros proveedores del mercado y  realizar  la respectiva evaluación.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organización obtuvo 24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en la evaluación y selección del proveedor; se cuenta con indicadores establecidos, respecto al tamaño del proyecto; finalmente, se verifica un atraso en el cumplimiento de actividades asociadas al cronograma del primer entregable.</w:t>
                  </w:r>
                </w:p>
                <w:p w:rsidR="00000000" w:rsidDel="00000000" w:rsidP="00000000" w:rsidRDefault="00000000" w:rsidRPr="00000000" w14:paraId="0000009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8">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99</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785"/>
              <w:tblGridChange w:id="0">
                <w:tblGrid>
                  <w:gridCol w:w="2427"/>
                  <w:gridCol w:w="5785"/>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1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de Generación de Energía Solar Fotovoltaica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Proyecto fotovoltaico   integrado por paneles solares  </w:t>
                  </w:r>
                  <w:r w:rsidDel="00000000" w:rsidR="00000000" w:rsidRPr="00000000">
                    <w:rPr>
                      <w:rFonts w:ascii="Arial" w:cs="Arial" w:eastAsia="Arial" w:hAnsi="Arial"/>
                      <w:sz w:val="22"/>
                      <w:szCs w:val="22"/>
                      <w:rtl w:val="0"/>
                    </w:rPr>
                    <w:t xml:space="preserve">monocristalinos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w:t>
                  </w:r>
                  <w:r w:rsidDel="00000000" w:rsidR="00000000" w:rsidRPr="00000000">
                    <w:rPr>
                      <w:rFonts w:ascii="Arial" w:cs="Arial" w:eastAsia="Arial" w:hAnsi="Arial"/>
                      <w:sz w:val="22"/>
                      <w:szCs w:val="22"/>
                      <w:rtl w:val="0"/>
                    </w:rPr>
                    <w:t xml:space="preserve">450W</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w:t>
                  </w:r>
                  <w:r w:rsidDel="00000000" w:rsidR="00000000" w:rsidRPr="00000000">
                    <w:rPr>
                      <w:rFonts w:ascii="Arial" w:cs="Arial" w:eastAsia="Arial" w:hAnsi="Arial"/>
                      <w:sz w:val="22"/>
                      <w:szCs w:val="22"/>
                      <w:rtl w:val="0"/>
                    </w:rPr>
                    <w:t xml:space="preserve">potencia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que </w:t>
                  </w:r>
                  <w:r w:rsidDel="00000000" w:rsidR="00000000" w:rsidRPr="00000000">
                    <w:rPr>
                      <w:rFonts w:ascii="Arial" w:cs="Arial" w:eastAsia="Arial" w:hAnsi="Arial"/>
                      <w:sz w:val="22"/>
                      <w:szCs w:val="22"/>
                      <w:rtl w:val="0"/>
                    </w:rPr>
                    <w:t xml:space="preserve">permite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suplir el 100 % del consumo energético de la organización.</w:t>
                  </w:r>
                </w:p>
              </w:tc>
            </w:tr>
          </w:tbl>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12"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B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avanzó en la interpretación de  su consumos energéticos con base en las herramientas de caracterización energética trabajadas y presentó avances en la formulación y evaluación técnico-financiera de un proyecto de generación de energía a partir de tecnología  solar fotovoltaica. Se recomienda complementar la </w:t>
            </w:r>
            <w:r w:rsidDel="00000000" w:rsidR="00000000" w:rsidRPr="00000000">
              <w:rPr>
                <w:rFonts w:ascii="Arial" w:cs="Arial" w:eastAsia="Arial" w:hAnsi="Arial"/>
                <w:sz w:val="22"/>
                <w:szCs w:val="22"/>
                <w:rtl w:val="0"/>
              </w:rPr>
              <w:t xml:space="preserve">caracterización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energética  como herramienta de </w:t>
            </w:r>
            <w:r w:rsidDel="00000000" w:rsidR="00000000" w:rsidRPr="00000000">
              <w:rPr>
                <w:rFonts w:ascii="Arial" w:cs="Arial" w:eastAsia="Arial" w:hAnsi="Arial"/>
                <w:sz w:val="22"/>
                <w:szCs w:val="22"/>
                <w:rtl w:val="0"/>
              </w:rPr>
              <w:t xml:space="preserve">control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interno y  profundizar en la formulación de los  beneficios energéticos,  económicos y ambientales como indicadores del proyecto cuándo se encuentre en fase de operación.</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BC">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g7kNrtpPJEhNqP45VcybEoOOQA==">AMUW2mVQKOgdm/dn9pp4q3RRklGYgCNDGu5pxg4RH68s4ASnq9yV7IHr+BqILMJPtyL193IOVsxz0m1uyJ2Txnr+gujvsYBhcLzw1hmEiWWEmH88VaEYrGQ=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2021-11-26T13:54:00Z</dcterms:created>
  <dc:creator>Jorge Manrique</dc:creator>
</cp:coreProperties>
</file>